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Cs/>
          <w:sz w:val="32"/>
          <w:szCs w:val="32"/>
        </w:rPr>
      </w:pPr>
      <w:r>
        <w:rPr>
          <w:rFonts w:hint="eastAsia" w:ascii="仿宋" w:hAnsi="仿宋" w:eastAsia="仿宋"/>
          <w:bCs/>
          <w:sz w:val="32"/>
          <w:szCs w:val="32"/>
        </w:rPr>
        <w:t>附件1</w:t>
      </w:r>
    </w:p>
    <w:p>
      <w:pPr>
        <w:jc w:val="center"/>
        <w:rPr>
          <w:rFonts w:ascii="仿宋_GB2312" w:hAnsi="黑体" w:eastAsia="仿宋_GB2312" w:cs="黑体"/>
          <w:bCs/>
          <w:kern w:val="0"/>
          <w:sz w:val="32"/>
          <w:szCs w:val="32"/>
        </w:rPr>
      </w:pPr>
      <w:bookmarkStart w:id="0" w:name="_GoBack"/>
      <w:r>
        <w:rPr>
          <w:rFonts w:hint="eastAsia" w:ascii="仿宋" w:hAnsi="仿宋" w:eastAsia="仿宋"/>
          <w:b/>
          <w:bCs/>
          <w:sz w:val="36"/>
          <w:szCs w:val="32"/>
        </w:rPr>
        <w:t>河南省发展燃气有限公司</w:t>
      </w:r>
      <w:r>
        <w:rPr>
          <w:rFonts w:hint="eastAsia" w:ascii="仿宋" w:hAnsi="仿宋" w:eastAsia="仿宋"/>
          <w:b/>
          <w:sz w:val="36"/>
          <w:szCs w:val="32"/>
        </w:rPr>
        <w:t>人才招聘计划</w:t>
      </w:r>
    </w:p>
    <w:bookmarkEnd w:id="0"/>
    <w:p>
      <w:pPr>
        <w:pStyle w:val="5"/>
        <w:ind w:left="420" w:firstLine="482" w:firstLineChars="150"/>
        <w:rPr>
          <w:rFonts w:ascii="仿宋_GB2312" w:hAnsi="黑体" w:eastAsia="仿宋_GB2312" w:cs="黑体"/>
          <w:b/>
          <w:bCs/>
          <w:kern w:val="0"/>
          <w:sz w:val="32"/>
          <w:szCs w:val="32"/>
        </w:rPr>
      </w:pPr>
      <w:r>
        <w:rPr>
          <w:rFonts w:hint="eastAsia" w:ascii="仿宋_GB2312" w:hAnsi="黑体" w:eastAsia="仿宋_GB2312" w:cs="黑体"/>
          <w:b/>
          <w:bCs/>
          <w:kern w:val="0"/>
          <w:sz w:val="32"/>
          <w:szCs w:val="32"/>
        </w:rPr>
        <w:t>一、招聘计划</w:t>
      </w:r>
    </w:p>
    <w:p>
      <w:pPr>
        <w:pStyle w:val="5"/>
        <w:ind w:left="420" w:firstLine="480" w:firstLineChars="150"/>
        <w:rPr>
          <w:rFonts w:ascii="仿宋_GB2312" w:hAnsi="黑体" w:eastAsia="仿宋_GB2312" w:cs="黑体"/>
          <w:bCs/>
          <w:kern w:val="0"/>
          <w:sz w:val="32"/>
          <w:szCs w:val="32"/>
        </w:rPr>
      </w:pPr>
      <w:r>
        <w:rPr>
          <w:rFonts w:hint="eastAsia" w:ascii="仿宋_GB2312" w:hAnsi="黑体" w:eastAsia="仿宋_GB2312" w:cs="黑体"/>
          <w:bCs/>
          <w:kern w:val="0"/>
          <w:sz w:val="32"/>
          <w:szCs w:val="32"/>
        </w:rPr>
        <w:t>发展燃气本次招聘岗位1</w:t>
      </w:r>
      <w:r>
        <w:rPr>
          <w:rFonts w:ascii="仿宋_GB2312" w:hAnsi="黑体" w:eastAsia="仿宋_GB2312" w:cs="黑体"/>
          <w:bCs/>
          <w:kern w:val="0"/>
          <w:sz w:val="32"/>
          <w:szCs w:val="32"/>
        </w:rPr>
        <w:t>5</w:t>
      </w:r>
      <w:r>
        <w:rPr>
          <w:rFonts w:hint="eastAsia" w:ascii="仿宋_GB2312" w:hAnsi="黑体" w:eastAsia="仿宋_GB2312" w:cs="黑体"/>
          <w:bCs/>
          <w:kern w:val="0"/>
          <w:sz w:val="32"/>
          <w:szCs w:val="32"/>
        </w:rPr>
        <w:t>个，招聘人数</w:t>
      </w:r>
      <w:r>
        <w:rPr>
          <w:rFonts w:ascii="仿宋_GB2312" w:hAnsi="黑体" w:eastAsia="仿宋_GB2312" w:cs="黑体"/>
          <w:bCs/>
          <w:kern w:val="0"/>
          <w:sz w:val="32"/>
          <w:szCs w:val="32"/>
        </w:rPr>
        <w:t>33</w:t>
      </w:r>
      <w:r>
        <w:rPr>
          <w:rFonts w:hint="eastAsia" w:ascii="仿宋_GB2312" w:hAnsi="黑体" w:eastAsia="仿宋_GB2312" w:cs="黑体"/>
          <w:bCs/>
          <w:kern w:val="0"/>
          <w:sz w:val="32"/>
          <w:szCs w:val="32"/>
        </w:rPr>
        <w:t>-</w:t>
      </w:r>
      <w:r>
        <w:rPr>
          <w:rFonts w:ascii="仿宋_GB2312" w:hAnsi="黑体" w:eastAsia="仿宋_GB2312" w:cs="黑体"/>
          <w:bCs/>
          <w:kern w:val="0"/>
          <w:sz w:val="32"/>
          <w:szCs w:val="32"/>
        </w:rPr>
        <w:t>38</w:t>
      </w:r>
      <w:r>
        <w:rPr>
          <w:rFonts w:hint="eastAsia" w:ascii="仿宋_GB2312" w:hAnsi="黑体" w:eastAsia="仿宋_GB2312" w:cs="黑体"/>
          <w:bCs/>
          <w:kern w:val="0"/>
          <w:sz w:val="32"/>
          <w:szCs w:val="32"/>
        </w:rPr>
        <w:t>名，具体如下表：</w:t>
      </w:r>
    </w:p>
    <w:tbl>
      <w:tblPr>
        <w:tblStyle w:val="3"/>
        <w:tblW w:w="7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04"/>
        <w:gridCol w:w="1372"/>
        <w:gridCol w:w="1040"/>
        <w:gridCol w:w="2425"/>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b/>
                <w:bCs/>
                <w:sz w:val="24"/>
                <w:szCs w:val="28"/>
              </w:rPr>
            </w:pPr>
            <w:r>
              <w:rPr>
                <w:rFonts w:hint="eastAsia" w:ascii="仿宋" w:hAnsi="仿宋" w:eastAsia="仿宋"/>
                <w:b/>
                <w:bCs/>
                <w:kern w:val="0"/>
                <w:sz w:val="24"/>
                <w:szCs w:val="28"/>
              </w:rPr>
              <w:t>序号</w:t>
            </w:r>
          </w:p>
        </w:tc>
        <w:tc>
          <w:tcPr>
            <w:tcW w:w="2412" w:type="dxa"/>
            <w:gridSpan w:val="2"/>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b/>
                <w:bCs/>
                <w:sz w:val="24"/>
                <w:szCs w:val="28"/>
              </w:rPr>
            </w:pPr>
            <w:r>
              <w:rPr>
                <w:rFonts w:hint="eastAsia" w:ascii="仿宋" w:hAnsi="仿宋" w:eastAsia="仿宋"/>
                <w:b/>
                <w:bCs/>
                <w:kern w:val="0"/>
                <w:sz w:val="24"/>
                <w:szCs w:val="28"/>
              </w:rPr>
              <w:t>部门</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b/>
                <w:bCs/>
                <w:sz w:val="24"/>
                <w:szCs w:val="28"/>
              </w:rPr>
            </w:pPr>
            <w:r>
              <w:rPr>
                <w:rFonts w:hint="eastAsia" w:ascii="仿宋" w:hAnsi="仿宋" w:eastAsia="仿宋"/>
                <w:b/>
                <w:bCs/>
                <w:kern w:val="0"/>
                <w:sz w:val="24"/>
                <w:szCs w:val="28"/>
              </w:rPr>
              <w:t>岗位名称</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b/>
                <w:bCs/>
                <w:sz w:val="24"/>
                <w:szCs w:val="28"/>
              </w:rPr>
            </w:pPr>
            <w:r>
              <w:rPr>
                <w:rFonts w:hint="eastAsia" w:ascii="仿宋" w:hAnsi="仿宋" w:eastAsia="仿宋"/>
                <w:b/>
                <w:bCs/>
                <w:kern w:val="0"/>
                <w:sz w:val="24"/>
                <w:szCs w:val="28"/>
              </w:rPr>
              <w:t>招聘人数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1</w:t>
            </w:r>
          </w:p>
        </w:tc>
        <w:tc>
          <w:tcPr>
            <w:tcW w:w="2412" w:type="dxa"/>
            <w:gridSpan w:val="2"/>
            <w:tcBorders>
              <w:top w:val="single" w:color="auto" w:sz="4" w:space="0"/>
              <w:left w:val="nil"/>
              <w:bottom w:val="single" w:color="000000" w:sz="4" w:space="0"/>
              <w:right w:val="single" w:color="auto" w:sz="4" w:space="0"/>
            </w:tcBorders>
            <w:tcMar>
              <w:top w:w="15" w:type="dxa"/>
              <w:left w:w="108" w:type="dxa"/>
              <w:bottom w:w="15" w:type="dxa"/>
              <w:right w:w="108" w:type="dxa"/>
            </w:tcMar>
            <w:vAlign w:val="center"/>
          </w:tcPr>
          <w:p>
            <w:pPr>
              <w:jc w:val="center"/>
              <w:rPr>
                <w:rFonts w:ascii="仿宋" w:hAnsi="仿宋" w:eastAsia="仿宋"/>
                <w:sz w:val="24"/>
                <w:szCs w:val="28"/>
              </w:rPr>
            </w:pPr>
            <w:r>
              <w:rPr>
                <w:rFonts w:hint="eastAsia" w:ascii="仿宋" w:hAnsi="仿宋" w:eastAsia="仿宋"/>
                <w:sz w:val="24"/>
                <w:szCs w:val="28"/>
              </w:rPr>
              <w:t>党群纪检审计部</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部长</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2</w:t>
            </w:r>
          </w:p>
        </w:tc>
        <w:tc>
          <w:tcPr>
            <w:tcW w:w="2412" w:type="dxa"/>
            <w:gridSpan w:val="2"/>
            <w:tcBorders>
              <w:top w:val="single" w:color="auto" w:sz="4" w:space="0"/>
              <w:left w:val="nil"/>
              <w:bottom w:val="single" w:color="000000" w:sz="4" w:space="0"/>
              <w:right w:val="single" w:color="000000" w:sz="4" w:space="0"/>
            </w:tcBorders>
            <w:tcMar>
              <w:top w:w="15" w:type="dxa"/>
              <w:left w:w="108" w:type="dxa"/>
              <w:bottom w:w="15" w:type="dxa"/>
              <w:right w:w="108" w:type="dxa"/>
            </w:tcMar>
            <w:vAlign w:val="center"/>
          </w:tcPr>
          <w:p>
            <w:pPr>
              <w:jc w:val="center"/>
              <w:rPr>
                <w:rFonts w:ascii="仿宋" w:hAnsi="仿宋" w:eastAsia="仿宋"/>
                <w:sz w:val="24"/>
                <w:szCs w:val="28"/>
              </w:rPr>
            </w:pPr>
            <w:r>
              <w:rPr>
                <w:rFonts w:hint="eastAsia" w:ascii="仿宋" w:hAnsi="仿宋" w:eastAsia="仿宋"/>
                <w:sz w:val="24"/>
                <w:szCs w:val="28"/>
              </w:rPr>
              <w:t>综合管理部</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人力资源岗</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3</w:t>
            </w:r>
          </w:p>
        </w:tc>
        <w:tc>
          <w:tcPr>
            <w:tcW w:w="2412" w:type="dxa"/>
            <w:gridSpan w:val="2"/>
            <w:vMerge w:val="restart"/>
            <w:tcBorders>
              <w:top w:val="nil"/>
              <w:left w:val="nil"/>
              <w:bottom w:val="single" w:color="000000" w:sz="4" w:space="0"/>
              <w:right w:val="single" w:color="000000" w:sz="4" w:space="0"/>
            </w:tcBorders>
            <w:tcMar>
              <w:top w:w="15" w:type="dxa"/>
              <w:left w:w="108" w:type="dxa"/>
              <w:bottom w:w="15" w:type="dxa"/>
              <w:right w:w="108" w:type="dxa"/>
            </w:tcMar>
            <w:vAlign w:val="center"/>
          </w:tcPr>
          <w:p>
            <w:pPr>
              <w:jc w:val="center"/>
              <w:rPr>
                <w:rFonts w:ascii="仿宋" w:hAnsi="仿宋" w:eastAsia="仿宋"/>
                <w:sz w:val="24"/>
                <w:szCs w:val="28"/>
              </w:rPr>
            </w:pPr>
            <w:r>
              <w:rPr>
                <w:rFonts w:hint="eastAsia" w:ascii="仿宋" w:hAnsi="仿宋" w:eastAsia="仿宋"/>
                <w:sz w:val="24"/>
                <w:szCs w:val="28"/>
              </w:rPr>
              <w:t>财务管理部</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部长</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sz w:val="24"/>
                <w:szCs w:val="28"/>
              </w:rPr>
              <w:t>4</w:t>
            </w:r>
          </w:p>
        </w:tc>
        <w:tc>
          <w:tcPr>
            <w:tcW w:w="241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sz w:val="24"/>
                <w:szCs w:val="28"/>
              </w:rPr>
            </w:pP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会计</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5</w:t>
            </w:r>
          </w:p>
        </w:tc>
        <w:tc>
          <w:tcPr>
            <w:tcW w:w="2412" w:type="dxa"/>
            <w:gridSpan w:val="2"/>
            <w:vMerge w:val="restart"/>
            <w:tcBorders>
              <w:top w:val="nil"/>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市场发展部</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kinsoku w:val="0"/>
              <w:overflowPunct w:val="0"/>
              <w:jc w:val="center"/>
              <w:textAlignment w:val="center"/>
              <w:rPr>
                <w:rFonts w:ascii="仿宋" w:hAnsi="仿宋" w:eastAsia="仿宋"/>
                <w:sz w:val="24"/>
                <w:szCs w:val="28"/>
              </w:rPr>
            </w:pPr>
            <w:r>
              <w:rPr>
                <w:rFonts w:hint="eastAsia" w:ascii="仿宋" w:hAnsi="仿宋" w:eastAsia="仿宋"/>
                <w:sz w:val="24"/>
                <w:szCs w:val="28"/>
              </w:rPr>
              <w:t>部长</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kinsoku w:val="0"/>
              <w:overflowPunct w:val="0"/>
              <w:jc w:val="center"/>
              <w:textAlignment w:val="center"/>
              <w:rPr>
                <w:rFonts w:ascii="仿宋" w:hAnsi="仿宋" w:eastAsia="仿宋"/>
                <w:sz w:val="24"/>
                <w:szCs w:val="28"/>
              </w:rPr>
            </w:pPr>
            <w:r>
              <w:rPr>
                <w:rFonts w:hint="eastAsia" w:ascii="仿宋" w:hAnsi="仿宋" w:eastAsia="仿宋"/>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6</w:t>
            </w:r>
          </w:p>
        </w:tc>
        <w:tc>
          <w:tcPr>
            <w:tcW w:w="241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sz w:val="24"/>
                <w:szCs w:val="28"/>
              </w:rPr>
            </w:pP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kinsoku w:val="0"/>
              <w:overflowPunct w:val="0"/>
              <w:jc w:val="center"/>
              <w:textAlignment w:val="center"/>
              <w:rPr>
                <w:rFonts w:ascii="仿宋" w:hAnsi="仿宋" w:eastAsia="仿宋"/>
                <w:color w:val="000000"/>
                <w:kern w:val="0"/>
                <w:sz w:val="24"/>
                <w:szCs w:val="28"/>
              </w:rPr>
            </w:pPr>
            <w:r>
              <w:rPr>
                <w:rFonts w:hint="eastAsia" w:ascii="仿宋" w:hAnsi="仿宋" w:eastAsia="仿宋"/>
                <w:color w:val="000000"/>
                <w:kern w:val="0"/>
                <w:sz w:val="24"/>
                <w:szCs w:val="28"/>
              </w:rPr>
              <w:t>战略投资岗</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kinsoku w:val="0"/>
              <w:overflowPunct w:val="0"/>
              <w:jc w:val="center"/>
              <w:textAlignment w:val="center"/>
              <w:rPr>
                <w:rFonts w:ascii="仿宋" w:hAnsi="仿宋" w:eastAsia="仿宋"/>
                <w:color w:val="000000"/>
                <w:kern w:val="0"/>
                <w:sz w:val="24"/>
                <w:szCs w:val="28"/>
              </w:rPr>
            </w:pPr>
            <w:r>
              <w:rPr>
                <w:rFonts w:hint="eastAsia" w:ascii="仿宋" w:hAnsi="仿宋" w:eastAsia="仿宋"/>
                <w:color w:val="000000"/>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7</w:t>
            </w:r>
          </w:p>
        </w:tc>
        <w:tc>
          <w:tcPr>
            <w:tcW w:w="241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sz w:val="24"/>
                <w:szCs w:val="28"/>
              </w:rPr>
            </w:pP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kinsoku w:val="0"/>
              <w:overflowPunct w:val="0"/>
              <w:jc w:val="center"/>
              <w:textAlignment w:val="center"/>
              <w:rPr>
                <w:rFonts w:ascii="仿宋" w:hAnsi="仿宋" w:eastAsia="仿宋"/>
                <w:sz w:val="24"/>
                <w:szCs w:val="28"/>
              </w:rPr>
            </w:pPr>
            <w:r>
              <w:rPr>
                <w:rFonts w:hint="eastAsia" w:ascii="仿宋" w:hAnsi="仿宋" w:eastAsia="仿宋"/>
                <w:color w:val="000000"/>
                <w:kern w:val="0"/>
                <w:sz w:val="24"/>
                <w:szCs w:val="28"/>
              </w:rPr>
              <w:t>市场开发岗</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kinsoku w:val="0"/>
              <w:overflowPunct w:val="0"/>
              <w:jc w:val="center"/>
              <w:textAlignment w:val="center"/>
              <w:rPr>
                <w:rFonts w:ascii="仿宋" w:hAnsi="仿宋" w:eastAsia="仿宋"/>
                <w:sz w:val="24"/>
                <w:szCs w:val="28"/>
              </w:rPr>
            </w:pPr>
            <w:r>
              <w:rPr>
                <w:rFonts w:hint="eastAsia" w:ascii="仿宋" w:hAnsi="仿宋" w:eastAsia="仿宋"/>
                <w:color w:val="000000"/>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8</w:t>
            </w:r>
          </w:p>
        </w:tc>
        <w:tc>
          <w:tcPr>
            <w:tcW w:w="2412" w:type="dxa"/>
            <w:gridSpan w:val="2"/>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管道项目部</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施工管理岗</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9</w:t>
            </w:r>
          </w:p>
        </w:tc>
        <w:tc>
          <w:tcPr>
            <w:tcW w:w="2412" w:type="dxa"/>
            <w:gridSpan w:val="2"/>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LNG事业部</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加气工（鹤壁）</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10</w:t>
            </w:r>
          </w:p>
        </w:tc>
        <w:tc>
          <w:tcPr>
            <w:tcW w:w="1372" w:type="dxa"/>
            <w:vMerge w:val="restart"/>
            <w:tcBorders>
              <w:top w:val="nil"/>
              <w:left w:val="nil"/>
              <w:bottom w:val="single" w:color="000000" w:sz="4" w:space="0"/>
              <w:right w:val="single" w:color="000000" w:sz="4" w:space="0"/>
            </w:tcBorders>
            <w:tcMar>
              <w:top w:w="15" w:type="dxa"/>
              <w:left w:w="108" w:type="dxa"/>
              <w:bottom w:w="15" w:type="dxa"/>
              <w:right w:w="108" w:type="dxa"/>
            </w:tcMar>
            <w:vAlign w:val="center"/>
          </w:tcPr>
          <w:p>
            <w:pPr>
              <w:ind w:left="113" w:right="113"/>
              <w:jc w:val="center"/>
              <w:textAlignment w:val="center"/>
              <w:rPr>
                <w:rFonts w:ascii="仿宋" w:hAnsi="仿宋" w:eastAsia="仿宋"/>
                <w:kern w:val="0"/>
                <w:sz w:val="24"/>
                <w:szCs w:val="28"/>
              </w:rPr>
            </w:pPr>
            <w:r>
              <w:rPr>
                <w:rFonts w:hint="eastAsia" w:ascii="仿宋" w:hAnsi="仿宋" w:eastAsia="仿宋"/>
                <w:kern w:val="0"/>
                <w:sz w:val="24"/>
                <w:szCs w:val="28"/>
              </w:rPr>
              <w:t>生产运行部</w:t>
            </w:r>
          </w:p>
        </w:tc>
        <w:tc>
          <w:tcPr>
            <w:tcW w:w="3465" w:type="dxa"/>
            <w:gridSpan w:val="2"/>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autoSpaceDE w:val="0"/>
              <w:ind w:right="630" w:rightChars="300"/>
              <w:jc w:val="right"/>
              <w:textAlignment w:val="center"/>
              <w:rPr>
                <w:rFonts w:ascii="仿宋" w:hAnsi="仿宋" w:eastAsia="仿宋"/>
                <w:kern w:val="0"/>
                <w:sz w:val="24"/>
                <w:szCs w:val="28"/>
              </w:rPr>
            </w:pPr>
            <w:r>
              <w:rPr>
                <w:rFonts w:hint="eastAsia" w:ascii="仿宋" w:hAnsi="仿宋" w:eastAsia="仿宋"/>
                <w:kern w:val="0"/>
                <w:sz w:val="24"/>
                <w:szCs w:val="28"/>
              </w:rPr>
              <w:t>部长</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11</w:t>
            </w:r>
          </w:p>
        </w:tc>
        <w:tc>
          <w:tcPr>
            <w:tcW w:w="137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kern w:val="0"/>
                <w:sz w:val="24"/>
                <w:szCs w:val="28"/>
              </w:rPr>
            </w:pPr>
          </w:p>
        </w:tc>
        <w:tc>
          <w:tcPr>
            <w:tcW w:w="1040" w:type="dxa"/>
            <w:vMerge w:val="restart"/>
            <w:tcBorders>
              <w:top w:val="nil"/>
              <w:left w:val="nil"/>
              <w:bottom w:val="single" w:color="000000" w:sz="4" w:space="0"/>
              <w:right w:val="single" w:color="000000" w:sz="4" w:space="0"/>
            </w:tcBorders>
            <w:tcMar>
              <w:top w:w="15" w:type="dxa"/>
              <w:left w:w="108" w:type="dxa"/>
              <w:bottom w:w="15" w:type="dxa"/>
              <w:right w:w="108" w:type="dxa"/>
            </w:tcMar>
            <w:vAlign w:val="center"/>
          </w:tcPr>
          <w:p>
            <w:pPr>
              <w:ind w:left="113" w:right="113"/>
              <w:jc w:val="center"/>
              <w:textAlignment w:val="center"/>
              <w:rPr>
                <w:rFonts w:ascii="仿宋" w:hAnsi="仿宋" w:eastAsia="仿宋"/>
                <w:kern w:val="0"/>
                <w:sz w:val="24"/>
                <w:szCs w:val="28"/>
              </w:rPr>
            </w:pPr>
            <w:r>
              <w:rPr>
                <w:rFonts w:hint="eastAsia" w:ascii="仿宋" w:hAnsi="仿宋" w:eastAsia="仿宋"/>
                <w:kern w:val="0"/>
                <w:sz w:val="24"/>
                <w:szCs w:val="28"/>
              </w:rPr>
              <w:t>南阳支线</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color w:val="000000"/>
                <w:kern w:val="0"/>
                <w:sz w:val="24"/>
                <w:szCs w:val="28"/>
              </w:rPr>
            </w:pPr>
            <w:r>
              <w:rPr>
                <w:rFonts w:hint="eastAsia" w:ascii="仿宋" w:hAnsi="仿宋" w:eastAsia="仿宋"/>
                <w:kern w:val="0"/>
                <w:sz w:val="24"/>
                <w:szCs w:val="28"/>
              </w:rPr>
              <w:t>维修工（机修）</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12</w:t>
            </w:r>
          </w:p>
        </w:tc>
        <w:tc>
          <w:tcPr>
            <w:tcW w:w="137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kern w:val="0"/>
                <w:sz w:val="24"/>
                <w:szCs w:val="28"/>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kern w:val="0"/>
                <w:sz w:val="24"/>
                <w:szCs w:val="28"/>
              </w:rPr>
            </w:pP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维修工（仪电）</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13</w:t>
            </w:r>
          </w:p>
        </w:tc>
        <w:tc>
          <w:tcPr>
            <w:tcW w:w="137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kern w:val="0"/>
                <w:sz w:val="24"/>
                <w:szCs w:val="28"/>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kern w:val="0"/>
                <w:sz w:val="24"/>
                <w:szCs w:val="28"/>
              </w:rPr>
            </w:pP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输气工</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14</w:t>
            </w:r>
          </w:p>
        </w:tc>
        <w:tc>
          <w:tcPr>
            <w:tcW w:w="137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kern w:val="0"/>
                <w:sz w:val="24"/>
                <w:szCs w:val="28"/>
              </w:rPr>
            </w:pPr>
          </w:p>
        </w:tc>
        <w:tc>
          <w:tcPr>
            <w:tcW w:w="1040"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中薛线</w:t>
            </w:r>
          </w:p>
        </w:tc>
        <w:tc>
          <w:tcPr>
            <w:tcW w:w="2425"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输气工</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sz w:val="24"/>
                <w:szCs w:val="28"/>
              </w:rPr>
            </w:pPr>
            <w:r>
              <w:rPr>
                <w:rFonts w:hint="eastAsia" w:ascii="仿宋" w:hAnsi="仿宋" w:eastAsia="仿宋"/>
                <w:sz w:val="24"/>
                <w:szCs w:val="28"/>
              </w:rPr>
              <w:t>15</w:t>
            </w:r>
          </w:p>
        </w:tc>
        <w:tc>
          <w:tcPr>
            <w:tcW w:w="4837" w:type="dxa"/>
            <w:gridSpan w:val="3"/>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应届大学生</w:t>
            </w:r>
          </w:p>
        </w:tc>
        <w:tc>
          <w:tcPr>
            <w:tcW w:w="1524"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pPr>
              <w:jc w:val="center"/>
              <w:textAlignment w:val="center"/>
              <w:rPr>
                <w:rFonts w:ascii="仿宋" w:hAnsi="仿宋" w:eastAsia="仿宋"/>
                <w:kern w:val="0"/>
                <w:sz w:val="24"/>
                <w:szCs w:val="28"/>
              </w:rPr>
            </w:pPr>
            <w:r>
              <w:rPr>
                <w:rFonts w:hint="eastAsia" w:ascii="仿宋" w:hAnsi="仿宋" w:eastAsia="仿宋"/>
                <w:kern w:val="0"/>
                <w:sz w:val="24"/>
                <w:szCs w:val="28"/>
              </w:rPr>
              <w:t>5-10</w:t>
            </w:r>
          </w:p>
        </w:tc>
      </w:tr>
    </w:tbl>
    <w:p>
      <w:pPr>
        <w:rPr>
          <w:rFonts w:ascii="仿宋_GB2312" w:hAnsi="黑体" w:eastAsia="仿宋_GB2312" w:cs="黑体"/>
          <w:bCs/>
          <w:kern w:val="0"/>
          <w:sz w:val="32"/>
          <w:szCs w:val="32"/>
          <w:highlight w:val="yellow"/>
        </w:rPr>
      </w:pPr>
    </w:p>
    <w:p>
      <w:pPr>
        <w:pStyle w:val="5"/>
        <w:numPr>
          <w:ilvl w:val="0"/>
          <w:numId w:val="1"/>
        </w:numPr>
        <w:ind w:left="420" w:firstLine="482" w:firstLineChars="150"/>
        <w:rPr>
          <w:rFonts w:ascii="仿宋_GB2312" w:hAnsi="黑体" w:eastAsia="仿宋_GB2312" w:cs="黑体"/>
          <w:b/>
          <w:kern w:val="0"/>
          <w:sz w:val="32"/>
          <w:szCs w:val="32"/>
        </w:rPr>
      </w:pPr>
      <w:r>
        <w:rPr>
          <w:rFonts w:hint="eastAsia" w:ascii="仿宋_GB2312" w:hAnsi="黑体" w:eastAsia="仿宋_GB2312" w:cs="黑体"/>
          <w:b/>
          <w:kern w:val="0"/>
          <w:sz w:val="32"/>
          <w:szCs w:val="32"/>
        </w:rPr>
        <w:t>岗位素质标准</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（一）党群纪检审计部部长</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1.共产党员。</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2.年龄45周岁及以下。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3.本科及以上学历，管理类、经济类等相关专业。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4.具有大中型企业三年及以上中层副职或一年及以上中层正职任职经历。</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5.具有中、高级经济师职称。</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6.精通党务、纪检等方面知识。</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7.具有较强的组织能力、协调能力、分析解决问题能力。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8.具有良好的心理素质，身体健康。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ascii="仿宋_GB2312" w:hAnsi="黑体" w:eastAsia="仿宋_GB2312" w:cs="黑体"/>
          <w:bCs/>
          <w:kern w:val="0"/>
          <w:sz w:val="32"/>
          <w:szCs w:val="32"/>
        </w:rPr>
        <w:t>9.特别优秀的，上述年龄、学历、职称、任职年限条件可以适当放宽。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（二）财务管理部部长</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1.年龄45周岁及以下。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2.本科及以上学历，财务、会计等相关专业。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3.具有大中型企业同类岗位三年及以上中层副职或一年及以上中层正职任职经历。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4.具有中、高级会计师职称，或注册会计师执业资格证。</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5.精通财务会计、全面预算等方面知识。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6.具有较强的计划执行能力、分析判断能力、成本控制意识。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8.特别优秀的，上述年龄、学历、职称、任职年限条件可以适当放宽。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（三）市场发展部部长</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1.年龄45周岁及以下。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2.本科及以上学历，石油化工、储运、市场营销、经济类等相关专业。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3.具有大中型企业或石油化工企业同类岗位三年及以上中层副职或一年及以上中层正职任职经历。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4.掌握天然气行业动态、市场调查知识、商务谈判知识，精通市场营销管理知识，具有较强市场开拓与销售能力。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5.具有较强的分析判断能力、商务谈判能力、组织协调能力。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6.具有较好的天然气行业人脉资源。</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8.特别优秀的，上述年龄、学历、职称、任职年限条件可以适当放宽。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（四）生产运行部部长</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1.年龄45周岁及以下。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2.本科及以上学历，油气类、石化类、机械类等相关专业。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3.具有大中型企业或石油化工企业同类岗位三年及以上中层副职或一年及以上中层正职任职经历。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4.具有中、高级工程师职称，或建筑工程、燃气工程相关的中、高级职（执）业资格证。</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5.精通天然气工程管理、运行管理知识，掌握营销知识。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6.具有较强的组织协调能力、计划执行能力。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8.特别优秀的，上述年龄、学历、职称、任职年限条件可以适当放宽。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（五）人力资源岗</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2.全日制本科及以上学历，人力资源、企业管理、行政管理等相关专业。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3.主管要求具有五年及以上人力资源管理相关工作经验并具有中级经济师及以上职称或一级人力资源管理师资格；专员要求具有三年及以上人力资源管理相关工作经验。</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4.熟悉现代企业人力资源管理理论，精通人力资源六大模块并独立负责过至少三大模块，能独立编制人力资源有关方案。</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5.具有扎实的文字功底，良好的协调能力、执行能力、沟通能力和较强的团队意识。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7.特别优秀的，上述年龄、学历、职称条件可以适当放宽。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（六）会计岗</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2.全日制本科及以上学历，财务类、会计类等相关专业。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3.专员要求具有三年及以上财务工作经验；助理工作经验不限。</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4.掌握财务会计知识、会计准则，熟悉财务核算流程，熟练操作财务软件。</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5.具有较强的沟通能力、计划执行能力、分析判断能力。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7.特别优秀的，上述年龄、学历、职称条件可以适当放宽。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（七）战略投资岗</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2.全日制本科及以上学历，石油化工类、管理类、经济类等相关专业。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3.具有五年及以上天然气项目战略、投资管理相关工作经验且有成功运作项目案例。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4.熟悉投资分析、风险评估和投资流程，了解相关法律和政策，精通投资、资本运作或企业并购、重组业务。</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5.熟悉天然气行业特性，了解行业发展态势，精通投融资管理知识，具有战略投资合作的资源和渠道，能够独立开展工作。</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6.具有较强的计划能力、分析能力、写作能力、沟通能力。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8.特别优秀的，上述年龄、学历、职称条件可以适当放宽。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（八）市场开发岗</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2.全日制本科及以上学历，石油化工类、管理类、经济类等相关专业。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3.主管要求具有五年及以上同行业相关工作经验，专员具有三年及以上同行业相关工作经验。</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4.熟悉天然气行业发展形势和河南省区域市场情况。</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5.具有较强的计划执行能力、沟通谈判能力。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7.特别优秀的，上述年龄、学历条件可以适当放宽。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（九）施工管理岗</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2.全日制本科及以上学历，土木工程、油气工程、石油化工、工程管理等相关专业，具有一级建造师或中高级职称者优先。</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3.具有五年及以上项目管理、施工管理相关经验。</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4.熟悉项目投资估算编制相关知识，精通工程施工管理和设备安装，掌握试验检测规程、质量评定标准、设计变更相关知识。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5.具有较强的组织能力、组织协调能力、计划执行能力。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6.具有良好的心理素质，身体健康。</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7.能接受省内外外派工作性质。</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8.特别优秀的，上述年龄、学历条件可以适当放宽。</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（十）维修工（机修）</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2.大专及以上学历，机械类或油气类等相关专业。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3.具有两年及以上机械设备维修相关工作经验，具有油气行业阀门、橇装设备采购安装两年及以上经验者优先。</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4.熟悉设备管理，熟悉天然气输配生产流程，熟练应用office办公软件。</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5.具有较好的团队意识、判断分析能力、计划执行能力。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6.具有良好的心理素质，身体健康。</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（十一）维修工（仪电）</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2.大专及以上学历，电气自动化、计算机信息、仪器仪表、自动化、测控技术与仪器等相关专业，具有高低压电工证、网络工程师证，具有本科及以上学历或中级及以上职称者优先。</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3.具有两年及以上设备、电气维修等相关工作经验。</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4.掌握天然气输配生产流程，熟练应用offic办公软件。</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5.具有较好的团队意识、判断分析能力、计划执行能力。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6.具有良好的心理素质，身体健康。</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（十二）输气工</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2.大专及以上学历，机械类、电气类、油气类、仪电类等相关专业，具有压力容器操作证、输气工证者优先。</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3.初级工工作经验不限，中级工应具有两年及以上油气输配、设备、电气、仪电，计算机等相关工作经验。</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4.熟悉安全生产作业相关法律法规，掌握天然气输送相关知识和天然气输配生产流程，熟练应用office办公软件。</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5.具有较好的团队意识、判断分析能力、计划执行能力。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6.具有良好的心理素质，身体健康。</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（十三）加气工</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1.年龄35周岁及以下。</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2.高中或技校及以上学历。</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3.能适应长期加气站现场工作。</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4.具有较好的团队意识、判断分析能力、计划执行能力。</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5.鹤壁当地符合条件者优先。</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6.具有相关工作经验者优先。</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7.具有车用气瓶充装证（P5）者优先。</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8.具有良好的心理素质，身体健康。</w:t>
      </w:r>
    </w:p>
    <w:p>
      <w:pPr>
        <w:adjustRightInd w:val="0"/>
        <w:snapToGrid w:val="0"/>
        <w:spacing w:line="360" w:lineRule="auto"/>
        <w:ind w:firstLine="643" w:firstLineChars="200"/>
        <w:rPr>
          <w:rFonts w:ascii="仿宋_GB2312" w:hAnsi="黑体" w:eastAsia="仿宋_GB2312" w:cs="黑体"/>
          <w:b/>
          <w:kern w:val="0"/>
          <w:sz w:val="32"/>
          <w:szCs w:val="32"/>
        </w:rPr>
      </w:pPr>
      <w:r>
        <w:rPr>
          <w:rFonts w:hint="eastAsia" w:ascii="仿宋_GB2312" w:hAnsi="黑体" w:eastAsia="仿宋_GB2312" w:cs="黑体"/>
          <w:b/>
          <w:kern w:val="0"/>
          <w:sz w:val="32"/>
          <w:szCs w:val="32"/>
        </w:rPr>
        <w:t>（十四）应届大学生</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1.双一流</w:t>
      </w:r>
      <w:r>
        <w:rPr>
          <w:rFonts w:hint="eastAsia" w:ascii="仿宋_GB2312" w:hAnsi="黑体" w:eastAsia="仿宋_GB2312" w:cs="黑体"/>
          <w:bCs/>
          <w:kern w:val="0"/>
          <w:sz w:val="32"/>
          <w:szCs w:val="32"/>
          <w:lang w:eastAsia="zh-CN"/>
        </w:rPr>
        <w:t>、</w:t>
      </w:r>
      <w:r>
        <w:rPr>
          <w:rFonts w:hint="eastAsia" w:ascii="仿宋_GB2312" w:hAnsi="黑体" w:eastAsia="仿宋_GB2312" w:cs="黑体"/>
          <w:bCs/>
          <w:kern w:val="0"/>
          <w:sz w:val="32"/>
          <w:szCs w:val="32"/>
        </w:rPr>
        <w:t>石油类</w:t>
      </w:r>
      <w:r>
        <w:rPr>
          <w:rFonts w:hint="eastAsia" w:ascii="仿宋_GB2312" w:hAnsi="黑体" w:eastAsia="仿宋_GB2312" w:cs="黑体"/>
          <w:bCs/>
          <w:kern w:val="0"/>
          <w:sz w:val="32"/>
          <w:szCs w:val="32"/>
          <w:lang w:val="en-US" w:eastAsia="zh-CN"/>
        </w:rPr>
        <w:t>等</w:t>
      </w:r>
      <w:r>
        <w:rPr>
          <w:rFonts w:hint="eastAsia" w:ascii="仿宋_GB2312" w:hAnsi="黑体" w:eastAsia="仿宋_GB2312" w:cs="黑体"/>
          <w:bCs/>
          <w:kern w:val="0"/>
          <w:sz w:val="32"/>
          <w:szCs w:val="32"/>
        </w:rPr>
        <w:t>院校，2019年或2020年毕业大学生。</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2.全日制本科及以上学历，油气类、石化类、仪器仪表类、电气信息类、安全类、财会类、投资类、经济管理类等专业。</w:t>
      </w:r>
    </w:p>
    <w:p>
      <w:pPr>
        <w:adjustRightInd w:val="0"/>
        <w:snapToGrid w:val="0"/>
        <w:spacing w:line="360" w:lineRule="auto"/>
        <w:ind w:firstLine="640" w:firstLineChars="200"/>
        <w:rPr>
          <w:rFonts w:ascii="仿宋_GB2312" w:hAnsi="黑体" w:eastAsia="仿宋_GB2312" w:cs="黑体"/>
          <w:bCs/>
          <w:kern w:val="0"/>
          <w:sz w:val="32"/>
          <w:szCs w:val="32"/>
        </w:rPr>
      </w:pPr>
      <w:r>
        <w:rPr>
          <w:rFonts w:hint="eastAsia" w:ascii="仿宋_GB2312" w:hAnsi="黑体" w:eastAsia="仿宋_GB2312" w:cs="黑体"/>
          <w:bCs/>
          <w:kern w:val="0"/>
          <w:sz w:val="32"/>
          <w:szCs w:val="32"/>
        </w:rPr>
        <w:t>3.具有较好的团队意识、沟通能力、执行能力、写作能力。</w:t>
      </w:r>
    </w:p>
    <w:p>
      <w:pPr>
        <w:adjustRightInd w:val="0"/>
        <w:snapToGrid w:val="0"/>
        <w:spacing w:line="360" w:lineRule="auto"/>
        <w:ind w:firstLine="640" w:firstLineChars="200"/>
        <w:sectPr>
          <w:pgSz w:w="11906" w:h="16838"/>
          <w:pgMar w:top="1440" w:right="1800" w:bottom="1440" w:left="1800" w:header="851" w:footer="992" w:gutter="0"/>
          <w:cols w:space="425" w:num="1"/>
          <w:docGrid w:type="lines" w:linePitch="312" w:charSpace="0"/>
        </w:sectPr>
      </w:pPr>
      <w:r>
        <w:rPr>
          <w:rFonts w:hint="eastAsia" w:ascii="仿宋_GB2312" w:hAnsi="黑体" w:eastAsia="仿宋_GB2312" w:cs="黑体"/>
          <w:bCs/>
          <w:kern w:val="0"/>
          <w:sz w:val="32"/>
          <w:szCs w:val="32"/>
        </w:rPr>
        <w:t>4.具有良好的心理素质，吃苦耐劳，身体健康。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36C2"/>
    <w:multiLevelType w:val="singleLevel"/>
    <w:tmpl w:val="19AA36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32E5C"/>
    <w:rsid w:val="3D03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next w:val="1"/>
    <w:qFormat/>
    <w:uiPriority w:val="0"/>
    <w:pPr>
      <w:widowControl w:val="0"/>
      <w:ind w:firstLine="420" w:firstLineChars="100"/>
      <w:jc w:val="both"/>
    </w:pPr>
    <w:rPr>
      <w:rFonts w:ascii="Calibri" w:hAnsi="Calibri" w:eastAsia="宋体" w:cs="Times New Roman"/>
      <w:kern w:val="2"/>
      <w:sz w:val="21"/>
      <w:szCs w:val="22"/>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2020-03-17T11:49:00Z</dcterms:created>
  <dc:creator>李柯雨</dc:creator>
  <cp:lastModifiedBy>李柯雨</cp:lastModifiedBy>
  <dcterms:modified xsi:type="dcterms:W3CDTF">2020-03-17T11:49:56Z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