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450" w:lineRule="atLeast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招聘计划及岗位素质要求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634"/>
        <w:gridCol w:w="531"/>
        <w:gridCol w:w="5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5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5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会计、审计、财务管理等相关专业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具有本科以上学历，所学专业为会计审计财务管理；具有3年以上财务管理、银行、投融资公司等相关从业经验；能够熟练使用财务会计软件，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精通财务分析，编报合并报表；精通国家财税法律规范。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经济学、金融学、工程管理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、城乡规划与管理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等相关专业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both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具有本科以上学历或专业技术资格证书；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熟悉或了解投融资、财务、熟悉法律知识；具有3年以上投融资相关工作经验,具有大型金融机构、产业基金或国有大型投融资公司相关岗位工作经验者优先；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具有较强的战略管理经验，具备宏观经济、行业分析能力、敏锐的洞察力和风险控制能力。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文秘、人力资源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信息技术类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等相关专业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具有大专以上学历，有较强的文字撰写功底和组织协调能力；熟练掌握日常办公软件；有较强的语言表达及组织管理能力，擅长写作；有人力资源或党建工作经历者优先。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法律专业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本科法律专业毕业，熟悉国内法律法规，具备扎实的法律基础知识；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熟悉投融资过程中涉及的各类投资风险，熟悉国家有关金融、经济、投资等监管政策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，具有较强的法律逻辑思维能力及分析、处理、应变及解决法律问题的工作能力。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施工管理、工程造价类专业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要求男性，具有二级建造师执业职格，一级建造师执业职格优先（招入公司人证合一）；熟练使用AUTOCAD、广联达等专业软件画图算量、计价计算；具有3年以上建筑行业从业经验；熟悉市政、房建、园林建筑行业相关规范、法规；具有良好的计划、执行能力、协调能力和人际沟通能力，具备团队意识，高度责任心及职业道德，能承受较强的工作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/>
              </w:rPr>
              <w:t>行政后勤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both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行政后勤管理2名，要求男性，30周岁以下，中专及以上学历，具有较强的协调沟通能力，有宾馆和办公室后勤保障工作经验的优先。驾驶员3名，要求男性，30周岁以下，具有3年以上驾驶经验，无交通违法记录。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5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58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42D16"/>
    <w:rsid w:val="0C042D16"/>
    <w:rsid w:val="1D5A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2020-05-29T07:51:00Z</dcterms:created>
  <dc:creator>一言之蔽</dc:creator>
  <cp:lastModifiedBy>一言之蔽</cp:lastModifiedBy>
  <dcterms:modified xsi:type="dcterms:W3CDTF">2020-05-29T08:06:38Z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