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715"/>
        <w:tblOverlap w:val="never"/>
        <w:tblW w:w="13680" w:type="dxa"/>
        <w:jc w:val="center"/>
        <w:shd w:val="clear" w:color="auto" w:fill="auto"/>
        <w:tblLayout w:type="fixed"/>
        <w:tblCellMar>
          <w:top w:w="0" w:type="dxa"/>
          <w:left w:w="0" w:type="dxa"/>
          <w:bottom w:w="0" w:type="dxa"/>
          <w:right w:w="0" w:type="dxa"/>
        </w:tblCellMar>
      </w:tblPr>
      <w:tblGrid>
        <w:gridCol w:w="420"/>
        <w:gridCol w:w="820"/>
        <w:gridCol w:w="907"/>
        <w:gridCol w:w="671"/>
        <w:gridCol w:w="2132"/>
        <w:gridCol w:w="8730"/>
      </w:tblGrid>
      <w:tr>
        <w:tblPrEx>
          <w:shd w:val="clear" w:color="auto" w:fill="auto"/>
          <w:tblCellMar>
            <w:top w:w="0" w:type="dxa"/>
            <w:left w:w="0" w:type="dxa"/>
            <w:bottom w:w="0" w:type="dxa"/>
            <w:right w:w="0" w:type="dxa"/>
          </w:tblCellMar>
        </w:tblPrEx>
        <w:trPr>
          <w:trHeight w:val="613" w:hRule="atLeast"/>
          <w:jc w:val="center"/>
        </w:trPr>
        <w:tc>
          <w:tcPr>
            <w:tcW w:w="13680" w:type="dxa"/>
            <w:gridSpan w:val="6"/>
            <w:tcBorders>
              <w:top w:val="nil"/>
              <w:left w:val="nil"/>
              <w:bottom w:val="single" w:color="auto" w:sz="4" w:space="0"/>
              <w:right w:val="nil"/>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w:t>
            </w:r>
          </w:p>
          <w:p>
            <w:pPr>
              <w:keepNext w:val="0"/>
              <w:keepLines w:val="0"/>
              <w:widowControl/>
              <w:suppressLineNumbers w:val="0"/>
              <w:jc w:val="center"/>
              <w:textAlignment w:val="center"/>
              <w:rPr>
                <w:rFonts w:ascii="微软雅黑" w:hAnsi="微软雅黑" w:eastAsia="微软雅黑" w:cs="微软雅黑"/>
                <w:b/>
                <w:i w:val="0"/>
                <w:color w:val="000000"/>
                <w:sz w:val="32"/>
                <w:szCs w:val="32"/>
                <w:u w:val="none"/>
              </w:rPr>
            </w:pPr>
            <w:r>
              <w:rPr>
                <w:rFonts w:hint="eastAsia" w:ascii="黑体" w:hAnsi="黑体" w:eastAsia="黑体" w:cs="黑体"/>
                <w:b w:val="0"/>
                <w:bCs/>
                <w:i w:val="0"/>
                <w:color w:val="000000"/>
                <w:sz w:val="32"/>
                <w:szCs w:val="32"/>
                <w:u w:val="none"/>
              </w:rPr>
              <w:t>焦作市天然气储运有限公司人才招聘计划表</w:t>
            </w:r>
          </w:p>
        </w:tc>
      </w:tr>
      <w:tr>
        <w:tblPrEx>
          <w:shd w:val="clear" w:color="auto" w:fill="auto"/>
          <w:tblCellMar>
            <w:top w:w="0" w:type="dxa"/>
            <w:left w:w="0" w:type="dxa"/>
            <w:bottom w:w="0" w:type="dxa"/>
            <w:right w:w="0" w:type="dxa"/>
          </w:tblCellMar>
        </w:tblPrEx>
        <w:trPr>
          <w:trHeight w:val="622" w:hRule="atLeast"/>
          <w:jc w:val="center"/>
        </w:trPr>
        <w:tc>
          <w:tcPr>
            <w:tcW w:w="420" w:type="dxa"/>
            <w:vMerge w:val="restart"/>
            <w:tcBorders>
              <w:top w:val="single" w:color="auto"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序号</w:t>
            </w:r>
          </w:p>
        </w:tc>
        <w:tc>
          <w:tcPr>
            <w:tcW w:w="13260" w:type="dxa"/>
            <w:gridSpan w:val="5"/>
            <w:tcBorders>
              <w:top w:val="single" w:color="auto"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2020招聘需求岗位详细信息</w:t>
            </w:r>
          </w:p>
        </w:tc>
      </w:tr>
      <w:tr>
        <w:tblPrEx>
          <w:shd w:val="clear" w:color="auto" w:fill="auto"/>
          <w:tblCellMar>
            <w:top w:w="0" w:type="dxa"/>
            <w:left w:w="0" w:type="dxa"/>
            <w:bottom w:w="0" w:type="dxa"/>
            <w:right w:w="0" w:type="dxa"/>
          </w:tblCellMar>
        </w:tblPrEx>
        <w:trPr>
          <w:wAfter w:w="0" w:type="auto"/>
          <w:trHeight w:val="870" w:hRule="atLeast"/>
          <w:jc w:val="center"/>
        </w:trPr>
        <w:tc>
          <w:tcPr>
            <w:tcW w:w="42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微软雅黑" w:hAnsi="微软雅黑" w:eastAsia="微软雅黑" w:cs="微软雅黑"/>
                <w:b/>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子公司/部门*</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申报招聘职位</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需求人数/人</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任职资格</w:t>
            </w:r>
          </w:p>
        </w:tc>
        <w:tc>
          <w:tcPr>
            <w:tcW w:w="8730"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岗位职责</w:t>
            </w:r>
          </w:p>
        </w:tc>
      </w:tr>
      <w:tr>
        <w:tblPrEx>
          <w:shd w:val="clear" w:color="auto" w:fill="auto"/>
          <w:tblCellMar>
            <w:top w:w="0" w:type="dxa"/>
            <w:left w:w="0" w:type="dxa"/>
            <w:bottom w:w="0" w:type="dxa"/>
            <w:right w:w="0" w:type="dxa"/>
          </w:tblCellMar>
        </w:tblPrEx>
        <w:trPr>
          <w:wAfter w:w="0" w:type="auto"/>
          <w:trHeight w:val="3033" w:hRule="atLeast"/>
          <w:jc w:val="center"/>
        </w:trPr>
        <w:tc>
          <w:tcPr>
            <w:tcW w:w="420"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焦作公司</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工艺班长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1、大专及以上学历，油气储运、石油化工、燃气及机械类相关理工科专业。</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2、安全资格证书优先。</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3、</w:t>
            </w:r>
            <w:r>
              <w:rPr>
                <w:rStyle w:val="5"/>
                <w:rFonts w:hint="eastAsia" w:ascii="仿宋_GB2312" w:hAnsi="仿宋_GB2312" w:eastAsia="仿宋_GB2312" w:cs="仿宋_GB2312"/>
                <w:lang w:val="en-US" w:eastAsia="zh-CN" w:bidi="ar"/>
              </w:rPr>
              <w:t>35岁以下</w:t>
            </w:r>
            <w:r>
              <w:rPr>
                <w:rStyle w:val="6"/>
                <w:rFonts w:hint="eastAsia" w:ascii="仿宋_GB2312" w:hAnsi="仿宋_GB2312" w:eastAsia="仿宋_GB2312" w:cs="仿宋_GB2312"/>
                <w:lang w:val="en-US" w:eastAsia="zh-CN" w:bidi="ar"/>
              </w:rPr>
              <w:t>，5年以上燃气公司生产工作经验或接收站、液化工厂生产工作经验，,2年以上工艺班长工作经验</w:t>
            </w:r>
          </w:p>
        </w:tc>
        <w:tc>
          <w:tcPr>
            <w:tcW w:w="8730"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全面贯彻实施工艺班岗位责任制、巡回检查制、交接班制、设备维修保养制、质量负责制、班组经济核算制、岗位练兵制和安全生产制等具体规定。2、召开生产班前会，听取班组人员关于生产情况的汇报，依规进行工作布置安排。3、接班后，组织指挥班组人员做好装置的开、停车工作。4、生产过程中如调度有新的指令，应立即组织全班人员做好相应调整与操作，确保装置处于最佳工艺状态。5、当出现各类事故时，及时组织指挥班员进行处理并立即报告，并对事故现场采取相应的诸如设置警戒线将事故现场封闭等保护措施。及时反映装置存在的缺陷、隐患，并协同处理，按要求做好记录。6、按规程要求组织班员进行整个生产区域的各类设备及安全防护器材的日常维护保养。7、按记录表要求填写班长工作记录和交接班记。8、检查与督促各岗位做好生产记录和报表。9、组织当班交接班工作，主动向接班班长介绍当班情况。10、交接班结束后，召开班后会进行当班工作小结。</w:t>
            </w:r>
          </w:p>
        </w:tc>
      </w:tr>
      <w:tr>
        <w:tblPrEx>
          <w:tblCellMar>
            <w:top w:w="0" w:type="dxa"/>
            <w:left w:w="0" w:type="dxa"/>
            <w:bottom w:w="0" w:type="dxa"/>
            <w:right w:w="0" w:type="dxa"/>
          </w:tblCellMar>
        </w:tblPrEx>
        <w:trPr>
          <w:wAfter w:w="0" w:type="auto"/>
          <w:trHeight w:val="2129" w:hRule="atLeast"/>
          <w:jc w:val="center"/>
        </w:trPr>
        <w:tc>
          <w:tcPr>
            <w:tcW w:w="420"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焦作公司</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中控室岗</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1、中专技校及以上学历，电气自动化、化工类与工艺相关专业。</w:t>
            </w:r>
            <w:r>
              <w:rPr>
                <w:rFonts w:hint="eastAsia" w:ascii="仿宋_GB2312" w:hAnsi="仿宋_GB2312" w:eastAsia="仿宋_GB2312" w:cs="仿宋_GB2312"/>
                <w:i w:val="0"/>
                <w:color w:val="000000"/>
                <w:kern w:val="0"/>
                <w:sz w:val="16"/>
                <w:szCs w:val="16"/>
                <w:u w:val="none"/>
                <w:lang w:val="en-US" w:eastAsia="zh-CN" w:bidi="ar"/>
              </w:rPr>
              <w:br w:type="textWrapping"/>
            </w:r>
            <w:r>
              <w:rPr>
                <w:rFonts w:hint="eastAsia" w:ascii="仿宋_GB2312" w:hAnsi="仿宋_GB2312" w:eastAsia="仿宋_GB2312" w:cs="仿宋_GB2312"/>
                <w:i w:val="0"/>
                <w:color w:val="000000"/>
                <w:kern w:val="0"/>
                <w:sz w:val="16"/>
                <w:szCs w:val="16"/>
                <w:u w:val="none"/>
                <w:lang w:val="en-US" w:eastAsia="zh-CN" w:bidi="ar"/>
              </w:rPr>
              <w:t>2、</w:t>
            </w:r>
            <w:r>
              <w:rPr>
                <w:rStyle w:val="5"/>
                <w:rFonts w:hint="eastAsia" w:ascii="仿宋_GB2312" w:hAnsi="仿宋_GB2312" w:eastAsia="仿宋_GB2312" w:cs="仿宋_GB2312"/>
                <w:lang w:val="en-US" w:eastAsia="zh-CN" w:bidi="ar"/>
              </w:rPr>
              <w:t>35岁以下，</w:t>
            </w:r>
            <w:r>
              <w:rPr>
                <w:rStyle w:val="6"/>
                <w:rFonts w:hint="eastAsia" w:ascii="仿宋_GB2312" w:hAnsi="仿宋_GB2312" w:eastAsia="仿宋_GB2312" w:cs="仿宋_GB2312"/>
                <w:lang w:val="en-US" w:eastAsia="zh-CN" w:bidi="ar"/>
              </w:rPr>
              <w:t>有LNG接收站（LNG液化工厂、天然气场站）控制运行操作经验优先；或应届毕业生。</w:t>
            </w:r>
          </w:p>
        </w:tc>
        <w:tc>
          <w:tcPr>
            <w:tcW w:w="8730"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 执行各类操作规程关于中控部分所有内容，并按规定抄表。2、检查、分析并及时处理日常生产中的问题。3、做好相关工作的风险分析与评估，防止污染源对环境的危害。4、 明确报警、连锁的投用和解除，及时跟踪检查设备的停、送电和交出、交回状况。5、 指挥及配合现场操作人员按时完成各类工艺测试，并填写相应报表。6、指挥及配合现场操作人员按时完成消防安全实施的检查或功能测试，并填写相应报表。7、按规定参加班前、班后会和填写本岗位交接班日志。</w:t>
            </w:r>
          </w:p>
        </w:tc>
      </w:tr>
      <w:tr>
        <w:tblPrEx>
          <w:shd w:val="clear" w:color="auto" w:fill="auto"/>
          <w:tblCellMar>
            <w:top w:w="0" w:type="dxa"/>
            <w:left w:w="0" w:type="dxa"/>
            <w:bottom w:w="0" w:type="dxa"/>
            <w:right w:w="0" w:type="dxa"/>
          </w:tblCellMar>
        </w:tblPrEx>
        <w:trPr>
          <w:wAfter w:w="0" w:type="auto"/>
          <w:trHeight w:val="632" w:hRule="atLeast"/>
          <w:jc w:val="center"/>
        </w:trPr>
        <w:tc>
          <w:tcPr>
            <w:tcW w:w="420" w:type="dxa"/>
            <w:tcBorders>
              <w:top w:val="single" w:color="000000" w:sz="4" w:space="0"/>
              <w:left w:val="single" w:color="auto"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仿宋_GB2312" w:hAnsi="仿宋_GB2312" w:eastAsia="仿宋_GB2312" w:cs="仿宋_GB2312"/>
                <w:i w:val="0"/>
                <w:color w:val="000000"/>
                <w:sz w:val="20"/>
                <w:szCs w:val="20"/>
                <w:u w:val="none"/>
              </w:rPr>
            </w:pPr>
          </w:p>
        </w:tc>
        <w:tc>
          <w:tcPr>
            <w:tcW w:w="820"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仿宋_GB2312" w:hAnsi="仿宋_GB2312" w:eastAsia="仿宋_GB2312" w:cs="仿宋_GB2312"/>
                <w:i w:val="0"/>
                <w:color w:val="000000"/>
                <w:sz w:val="20"/>
                <w:szCs w:val="20"/>
                <w:u w:val="none"/>
              </w:rPr>
            </w:pPr>
          </w:p>
        </w:tc>
        <w:tc>
          <w:tcPr>
            <w:tcW w:w="90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合计</w:t>
            </w:r>
          </w:p>
        </w:tc>
        <w:tc>
          <w:tcPr>
            <w:tcW w:w="671"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2132"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jc w:val="center"/>
              <w:rPr>
                <w:rFonts w:hint="eastAsia" w:ascii="仿宋_GB2312" w:hAnsi="仿宋_GB2312" w:eastAsia="仿宋_GB2312" w:cs="仿宋_GB2312"/>
                <w:i w:val="0"/>
                <w:color w:val="000000"/>
                <w:sz w:val="16"/>
                <w:szCs w:val="16"/>
                <w:u w:val="none"/>
              </w:rPr>
            </w:pPr>
          </w:p>
        </w:tc>
        <w:tc>
          <w:tcPr>
            <w:tcW w:w="8730" w:type="dxa"/>
            <w:tcBorders>
              <w:top w:val="single" w:color="000000" w:sz="4" w:space="0"/>
              <w:left w:val="single" w:color="000000" w:sz="4" w:space="0"/>
              <w:bottom w:val="single" w:color="auto" w:sz="4" w:space="0"/>
              <w:right w:val="single" w:color="auto" w:sz="4" w:space="0"/>
            </w:tcBorders>
            <w:shd w:val="clear" w:color="auto" w:fill="auto"/>
            <w:noWrap/>
            <w:tcMar>
              <w:top w:w="10" w:type="dxa"/>
              <w:left w:w="10" w:type="dxa"/>
              <w:right w:w="10" w:type="dxa"/>
            </w:tcMar>
            <w:vAlign w:val="center"/>
          </w:tcPr>
          <w:p>
            <w:pPr>
              <w:jc w:val="center"/>
              <w:rPr>
                <w:rFonts w:hint="eastAsia" w:ascii="仿宋_GB2312" w:hAnsi="仿宋_GB2312" w:eastAsia="仿宋_GB2312" w:cs="仿宋_GB2312"/>
                <w:i w:val="0"/>
                <w:color w:val="000000"/>
                <w:sz w:val="20"/>
                <w:szCs w:val="20"/>
                <w:u w:val="none"/>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F4307"/>
    <w:rsid w:val="0B4F4307"/>
    <w:rsid w:val="112810D0"/>
    <w:rsid w:val="7841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420" w:firstLineChars="100"/>
      <w:jc w:val="both"/>
    </w:pPr>
    <w:rPr>
      <w:rFonts w:ascii="Calibri" w:hAnsi="Calibri" w:eastAsia="宋体" w:cs="Times New Roman"/>
      <w:kern w:val="2"/>
      <w:sz w:val="21"/>
      <w:szCs w:val="22"/>
      <w:lang w:val="en-US" w:eastAsia="zh-CN" w:bidi="ar-SA"/>
    </w:rPr>
  </w:style>
  <w:style w:type="character" w:customStyle="1" w:styleId="5">
    <w:name w:val="font121"/>
    <w:basedOn w:val="4"/>
    <w:qFormat/>
    <w:uiPriority w:val="0"/>
    <w:rPr>
      <w:rFonts w:hint="eastAsia" w:ascii="微软雅黑" w:hAnsi="微软雅黑" w:eastAsia="微软雅黑" w:cs="微软雅黑"/>
      <w:color w:val="000000"/>
      <w:sz w:val="16"/>
      <w:szCs w:val="16"/>
      <w:u w:val="single"/>
    </w:rPr>
  </w:style>
  <w:style w:type="character" w:customStyle="1" w:styleId="6">
    <w:name w:val="font41"/>
    <w:basedOn w:val="4"/>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2020-06-28T11:12:00Z</dcterms:created>
  <dc:creator>Tiger</dc:creator>
  <cp:lastModifiedBy>Tiger</cp:lastModifiedBy>
  <dcterms:modified xsi:type="dcterms:W3CDTF">2020-06-28T13:44:54Z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